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6" w:dyaOrig="816">
          <v:rect xmlns:o="urn:schemas-microsoft-com:office:office" xmlns:v="urn:schemas-microsoft-com:vml" id="rectole0000000000" style="width:202.300000pt;height:4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 pro 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ácení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ve 14denní zákonné lh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ůtě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Odstoupení od smlouvy dle §1829 zak. 89/2012 Sb.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Zákazník:</w:t>
        <w:tab/>
      </w:r>
    </w:p>
    <w:p>
      <w:pPr>
        <w:tabs>
          <w:tab w:val="left" w:pos="581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íjmení:</w:t>
        <w:tab/>
        <w:t xml:space="preserve">(shodné se jménem na objednávce)</w:t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faktury:</w:t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Adresa:</w:t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</w:t>
        <w:tab/>
      </w:r>
    </w:p>
    <w:p>
      <w:pPr>
        <w:tabs>
          <w:tab w:val="left" w:pos="5812" w:leader="dot"/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Odstoupení od smlouvy: datum nákupu:</w:t>
        <w:tab/>
        <w:t xml:space="preserve">/doru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  <w:tab/>
      </w:r>
    </w:p>
    <w:p>
      <w:pPr>
        <w:tabs>
          <w:tab w:val="left" w:pos="5812" w:leader="dot"/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čtu*:</w:t>
        <w:tab/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banky: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Seznam vráceného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**:</w:t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9072" w:leader="dot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pro vrácení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PCC MORAVA - CHEM s.r.o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Leo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še Jan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á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čka 798/20,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737 01 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Česk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ý T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ěš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ín</w:t>
      </w:r>
    </w:p>
    <w:p>
      <w:pPr>
        <w:spacing w:before="0" w:after="160" w:line="259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Datum:</w:t>
        <w:tab/>
        <w:tab/>
        <w:t xml:space="preserve">Popis:</w:t>
        <w:tab/>
      </w: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*Na uvedený ú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čet V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ám budou vráceny peníze do 14 kalendá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řn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ích dn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ů</w:t>
      </w: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**Zbo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ž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 musí být vráceno kompletní, v p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ůvodn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ím stavu, nesmí jevit znaky opot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řeben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 a pou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ž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ívání.  Zbo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ž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í nezasílejte na dobírku, taková zásilka nebude p</w:t>
      </w:r>
      <w:r>
        <w:rPr>
          <w:rFonts w:ascii="Helvetica" w:hAnsi="Helvetica" w:cs="Helvetica" w:eastAsia="Helvetica"/>
          <w:color w:val="333333"/>
          <w:spacing w:val="0"/>
          <w:position w:val="0"/>
          <w:sz w:val="18"/>
          <w:shd w:fill="FFFFFF" w:val="clear"/>
        </w:rPr>
        <w:t xml:space="preserve">řijata</w:t>
      </w: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"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www.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 HYPERLINK "http://www.distripark.cz/"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distripark.cz</w:t>
        </w:r>
      </w:hyperlink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</w:t>
      </w:r>
      <w:hyperlink xmlns:r="http://schemas.openxmlformats.org/officeDocument/2006/relationships" r:id="docRId3"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info@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 HYPERLINK "mailto:info@distripark.cz"</w:t>
        </w:r>
        <w:r>
          <w:rPr>
            <w:rFonts w:ascii="Helvetica" w:hAnsi="Helvetica" w:cs="Helvetica" w:eastAsia="Helvetica"/>
            <w:color w:val="0563C1"/>
            <w:spacing w:val="0"/>
            <w:position w:val="0"/>
            <w:sz w:val="21"/>
            <w:u w:val="single"/>
            <w:shd w:fill="FFFFFF" w:val="clear"/>
          </w:rPr>
          <w:t xml:space="preserve">distripark.cz</w:t>
        </w:r>
      </w:hyperlink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 tel: 558 769 166 (v pracovní dny 7:00-16:00)</w:t>
      </w:r>
    </w:p>
    <w:p>
      <w:pPr>
        <w:tabs>
          <w:tab w:val="left" w:pos="2835" w:leader="dot"/>
          <w:tab w:val="left" w:pos="5812" w:leader="none"/>
          <w:tab w:val="left" w:pos="8931" w:leader="dot"/>
        </w:tabs>
        <w:spacing w:before="0" w:after="160" w:line="259"/>
        <w:ind w:right="0" w:left="0" w:firstLine="0"/>
        <w:jc w:val="center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PCC MORAVA - CHEM s.r.o., Leo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še Jan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á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čka 798/20, 737 01 Česk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ý T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ěš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ín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info@distripark.cz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distripark.cz/" Id="docRId2" Type="http://schemas.openxmlformats.org/officeDocument/2006/relationships/hyperlink" /><Relationship Target="numbering.xml" Id="docRId4" Type="http://schemas.openxmlformats.org/officeDocument/2006/relationships/numbering" /></Relationships>
</file>